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97CD">
      <w:pPr>
        <w:pStyle w:val="2"/>
        <w:ind w:firstLine="0" w:firstLineChars="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 w14:paraId="5BAA2242"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县级地质灾害应急响应流程图</w:t>
      </w:r>
    </w:p>
    <w:p w14:paraId="41B5D80E"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5310312"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209550</wp:posOffset>
            </wp:positionV>
            <wp:extent cx="6043930" cy="7357745"/>
            <wp:effectExtent l="0" t="0" r="13970" b="14605"/>
            <wp:wrapNone/>
            <wp:docPr id="8" name="图片 8" descr="大同市突发地质灾害应急预案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大同市突发地质灾害应急预案-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8B57C"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sectPr>
          <w:footerReference r:id="rId3" w:type="default"/>
          <w:pgSz w:w="11906" w:h="16838"/>
          <w:pgMar w:top="1417" w:right="1644" w:bottom="1418" w:left="1644" w:header="850" w:footer="992" w:gutter="0"/>
          <w:pgNumType w:fmt="numberInDash" w:start="1"/>
          <w:cols w:space="720" w:num="1"/>
          <w:docGrid w:type="lines" w:linePitch="312" w:charSpace="0"/>
        </w:sectPr>
      </w:pPr>
    </w:p>
    <w:p w14:paraId="71A6CA1D">
      <w:pPr>
        <w:pStyle w:val="2"/>
        <w:spacing w:line="400" w:lineRule="exact"/>
        <w:ind w:firstLine="0" w:firstLineChars="0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7CD0D87B"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天镇县地质灾害应急指挥机构及职责</w:t>
      </w:r>
    </w:p>
    <w:tbl>
      <w:tblPr>
        <w:tblStyle w:val="14"/>
        <w:tblW w:w="138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376"/>
        <w:gridCol w:w="10374"/>
      </w:tblGrid>
      <w:tr w14:paraId="6D1E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712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人员组成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C273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指挥机构及职责</w:t>
            </w:r>
          </w:p>
        </w:tc>
      </w:tr>
      <w:tr w14:paraId="75262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8B0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指挥长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F4C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政府分管自然资源工作的副县长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E39B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指挥部职责：贯彻落实党中央、国务院及省、市关于地质灾害防范应对工作的决策部署，统筹协调全县地质灾害防范治理工作，制定地质灾害总体规划、重要措施， 导协调地质灾害风险防控、监测预警、调查评估和善后工作，组织指挥较大地质灾害应急处置工作，部署和组织有关单位及有关地区对受灾地区进行紧急援救，落实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 w:bidi="ar"/>
              </w:rPr>
              <w:t>县委、县政府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和县应急救援总指挥部交办的地质灾害应急处置的其他重大事项。县地质灾害应急指挥部下设办公室，办公室设在县应急局，办公室主任由应急管理局和自然资源局主要负责人兼任。</w:t>
            </w:r>
          </w:p>
        </w:tc>
      </w:tr>
      <w:tr w14:paraId="5137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4C5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47D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FDA4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指挥长职责：全面负责灾害的组织救援工作，制定灾害救援实施方案 ，调度指挥各方面救援力量，处置紧急情况。对不服从指挥、行动迟缓、贻误战机、消极怠工、工作失职的相关责任人，可建议当地人民政府按照组织程序给予行政纪律处分。</w:t>
            </w:r>
          </w:p>
        </w:tc>
      </w:tr>
      <w:tr w14:paraId="71FB7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C67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副指</w:t>
            </w:r>
          </w:p>
          <w:p w14:paraId="2C7611F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挥长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397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政府办公室副主任</w:t>
            </w:r>
          </w:p>
        </w:tc>
        <w:tc>
          <w:tcPr>
            <w:tcW w:w="10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7956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副指挥长职责：协助指挥长监督检查各项工作的落实，承办前方指挥部分配的工作任务。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县地质灾害应急指挥部办公室职责：承担地质灾害应急指挥部日常工作，制定、修订地质灾害专项应急预案，开展地质灾害风险防控和监测预警工作，组织桌面推演、实兵演练等应对地质灾害专项训练，协调各方面力量参加地质灾害救援行动，协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 w:bidi="ar"/>
              </w:rPr>
              <w:t>县委、县政府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指定的负责同志组织地质灾害应急处置工作，组织开展调查评估和协调推进善后处置工作，报告和发布地质灾害信息，指导各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地质灾害应对等工作。</w:t>
            </w:r>
          </w:p>
        </w:tc>
      </w:tr>
      <w:tr w14:paraId="35C8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1AA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632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自然资源局局长</w:t>
            </w:r>
          </w:p>
        </w:tc>
        <w:tc>
          <w:tcPr>
            <w:tcW w:w="10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7FF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F76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13B1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57A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应急管理局局长</w:t>
            </w:r>
          </w:p>
        </w:tc>
        <w:tc>
          <w:tcPr>
            <w:tcW w:w="10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3273C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0F12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E3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FBC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气象局局长</w:t>
            </w:r>
          </w:p>
        </w:tc>
        <w:tc>
          <w:tcPr>
            <w:tcW w:w="10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F9F1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C3C3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B20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A98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武警中队队长</w:t>
            </w:r>
          </w:p>
        </w:tc>
        <w:tc>
          <w:tcPr>
            <w:tcW w:w="10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D57E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040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CAD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C81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消防救援局局长</w:t>
            </w:r>
          </w:p>
        </w:tc>
        <w:tc>
          <w:tcPr>
            <w:tcW w:w="10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19E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0C4B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C7D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成员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32D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宣传部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A556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根据指挥部的统一部署，负责组织协调新闻媒体开展应急新闻报道，积极引导舆论</w:t>
            </w:r>
            <w:r>
              <w:rPr>
                <w:rStyle w:val="23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指挥有关单位开展舆情监测，主动正面发声，回应社会关切，科学稳妥做好网上舆情引导应对。</w:t>
            </w:r>
          </w:p>
        </w:tc>
      </w:tr>
      <w:tr w14:paraId="05CE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46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7A7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发科局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0C4B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负责制定灾后基础设施重建方案，协调应急生活必需品和粮油储备调运相关工作 ，并加强灾区生活必需品现场运行监测。</w:t>
            </w:r>
          </w:p>
        </w:tc>
      </w:tr>
      <w:tr w14:paraId="1BDE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25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309F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教育局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A532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负责灾害发生时在校学生的安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全</w:t>
            </w:r>
            <w:r>
              <w:rPr>
                <w:rStyle w:val="25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管理和疏散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工</w:t>
            </w:r>
            <w:r>
              <w:rPr>
                <w:rStyle w:val="25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作，善解决灾区学生</w:t>
            </w:r>
            <w:r>
              <w:rPr>
                <w:rStyle w:val="23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的</w:t>
            </w:r>
            <w:r>
              <w:rPr>
                <w:rStyle w:val="25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就学问题；负责对学生进行防灾减灾应急知识的宣传教育工作。</w:t>
            </w:r>
          </w:p>
        </w:tc>
      </w:tr>
      <w:tr w14:paraId="08BD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E9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170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公安局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A6FB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协助灾区政府对遇险人员进行搜救，动员受灾害威胁的居民以及其他人员疏散、转移到安全地带；确定伤亡和失联人员身份；对遇难人员遗体进行尸体检验、数据勘验和身份识别；协助灾区有关单位维护社会治安，依法打击违法犯罪活动；迅速疏导交通，对灾区和通往灾区的道路实行交通管制，保证抢险救灾工作顺利进行。</w:t>
            </w:r>
          </w:p>
        </w:tc>
      </w:tr>
      <w:tr w14:paraId="479B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E3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C1C1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工信局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1032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紧急状态下重要物资生产组织工作；按照职责核实工业企业受损情况，指导制定工业恢复生产方案和生产自救。配合有关单位、督促受灾直属企业开展次生灾害抢险、排险工作；配合相关单位对监管企业安全生产和应急管理工作检查、督查，核实上报企业受损情况。负责组织协调各电信运营企业做好应急保障工作。</w:t>
            </w:r>
          </w:p>
        </w:tc>
      </w:tr>
      <w:tr w14:paraId="655E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A10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375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民政局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5936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负责灾区遇难人员遗火化工作；负责城乡居民最低生活保障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</w:t>
            </w:r>
            <w:r>
              <w:rPr>
                <w:rStyle w:val="25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临时救助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</w:t>
            </w:r>
            <w:r>
              <w:rPr>
                <w:rStyle w:val="25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特困人员救助供养、生活无着流浪乞讨人员救助工作。</w:t>
            </w:r>
          </w:p>
        </w:tc>
      </w:tr>
      <w:tr w14:paraId="54F1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972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E28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司法局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81D0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负责司法系统监狱、戒毒场所等特殊单位及群体的监控和转移安置，提供法律服务</w:t>
            </w:r>
            <w:r>
              <w:rPr>
                <w:rStyle w:val="23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</w:p>
        </w:tc>
      </w:tr>
      <w:tr w14:paraId="23F1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D13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EC1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财政局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6E86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按照分级负担原则，负责救灾资金筹集、管理，配合做好财政救灾资金、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政府间捐赠资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金及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其他社会捐赠资金使用管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理；负责组织所需应急救援物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资的政府采购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，</w:t>
            </w:r>
            <w:r>
              <w:rPr>
                <w:rStyle w:val="27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并对县应急救援物资的采购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</w:t>
            </w:r>
            <w:r>
              <w:rPr>
                <w:rStyle w:val="27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储存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</w:t>
            </w:r>
            <w:r>
              <w:rPr>
                <w:rStyle w:val="27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调运所需资金予以保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障。</w:t>
            </w:r>
          </w:p>
        </w:tc>
      </w:tr>
      <w:tr w14:paraId="579A2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4F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1EA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人力资源和社会保障局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F943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负责保障生产恢复过程中劳资关系稳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定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</w:p>
        </w:tc>
      </w:tr>
      <w:tr w14:paraId="4FD2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612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B2E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自然资源局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EA3A"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负责突发地质灾害信息收集，组织开展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突发地质灾害应急调查和灾害区域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周边的隐患排查及专业监测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；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负责提供地质灾害气象风险预警成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果，对灾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害发展趋势进行预测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，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为灾害应急救援提供技术支撑，提出应急处置的措施和建议，对必要的应急处置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工程进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行技术指导。</w:t>
            </w:r>
          </w:p>
        </w:tc>
      </w:tr>
      <w:tr w14:paraId="0CE7D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4C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8EB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住建局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DB34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负责对受灾建筑物的损坏程度进行评估，并报告直接经济损失情况；负责灾后恢复重建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工程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建设监督指导。</w:t>
            </w:r>
          </w:p>
        </w:tc>
      </w:tr>
      <w:tr w14:paraId="5C6C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7E3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22C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市生态环境局天镇分局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2F16"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地质灾害引发环境污染次生灾害的监测、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监控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工作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，及时提供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环境监测信息。</w:t>
            </w:r>
          </w:p>
        </w:tc>
      </w:tr>
      <w:tr w14:paraId="124F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39F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5EF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城市行政执法管理大队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3CC8"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负责组织城县供水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排水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燃气、热力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、路政照明等县政设施的抢、排险工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作。</w:t>
            </w:r>
          </w:p>
        </w:tc>
      </w:tr>
      <w:tr w14:paraId="5CD16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D1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A05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交通运输局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42D1"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负贵组织抢修损毁的公路交通设施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，确保公路畅通；组织协调应急运力，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配合有关单位做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 xml:space="preserve"> 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好救灾人员</w:t>
            </w:r>
            <w:r>
              <w:rPr>
                <w:rStyle w:val="2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</w:t>
            </w:r>
            <w:r>
              <w:rPr>
                <w:rStyle w:val="26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物资的运输工作。</w:t>
            </w:r>
          </w:p>
        </w:tc>
      </w:tr>
      <w:tr w14:paraId="5ACE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41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27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水务局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4DD4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负责水情和汛情的监测；对影响水利工程设施安全的地质灾害采取紧急处置措施，避免水利工程遭受或引发地质灾害。</w:t>
            </w:r>
          </w:p>
        </w:tc>
      </w:tr>
      <w:tr w14:paraId="0423D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BAB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49E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农业农村局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8A43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负责指导灾区动物疫情防治工作。负责农业生产自救，核实受损情况，指导制定农业恢复生产方案，指导县乡（镇）落实农业生产恢复。</w:t>
            </w:r>
          </w:p>
        </w:tc>
      </w:tr>
      <w:tr w14:paraId="6DC6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A68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FC2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文化和旅游局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F4E78"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负责指导景区主管单位对旅游景区内地质灾害进行排查、监测和治理；指导发生地质灾害景区游客的疏散安置工作。</w:t>
            </w:r>
          </w:p>
        </w:tc>
      </w:tr>
      <w:tr w14:paraId="73D7A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6A9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E69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卫体局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6C525">
            <w:pPr>
              <w:widowControl/>
              <w:spacing w:line="320" w:lineRule="exact"/>
              <w:textAlignment w:val="top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负责督导事发地卫生健康单位，调派专家团队和卫生应急队伍，开展地质灾害伤病员医疗救治，灾区卫生防疫、心理危机于预和相关人员医疗卫生保障。</w:t>
            </w:r>
          </w:p>
        </w:tc>
      </w:tr>
      <w:tr w14:paraId="0632A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5B8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4B5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应急管理局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5246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承担办公室日常工作。组织指导突发地质灾害抢险救援工作；负责灾民转移、安置，指导突发地质灾害事件中受灾群众的基本生活救助；指导灾区企业开展抢、排险工作；组织开展较大地质灾害调查评估工作。</w:t>
            </w:r>
          </w:p>
        </w:tc>
      </w:tr>
      <w:tr w14:paraId="666C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337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10B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市场监督管理局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3499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负责救灾物品质量监管，救灾餐饮服务食品的安全监管和药品、医疗器械的质量监督管理，综合协调食品安全；对灾区电梯、锅炉等特种设备的安全监察。</w:t>
            </w:r>
          </w:p>
        </w:tc>
      </w:tr>
      <w:tr w14:paraId="42C5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6C3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AF3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能源局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A494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指导协调电力、新能源、可再生能源企业和石油天然气管道抢、排险工作，防止次生灾害的发生。</w:t>
            </w:r>
          </w:p>
        </w:tc>
      </w:tr>
      <w:tr w14:paraId="2D686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699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D58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气象局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9925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负责为灾害救援处置提供气象保障，会同自然资源局提供地质灾害气象风险预警。</w:t>
            </w:r>
          </w:p>
        </w:tc>
      </w:tr>
      <w:tr w14:paraId="0C878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F227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1BA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武警中队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0010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负责调集队伍参加抢险救灾；配合公安机关维护当地社会秩序，保卫重要目标。</w:t>
            </w:r>
          </w:p>
        </w:tc>
      </w:tr>
      <w:tr w14:paraId="4B1C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C6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713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消防救援局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2823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负责组织指挥所属队伍参加以搜救人员为主的抢险救援工作。</w:t>
            </w:r>
          </w:p>
        </w:tc>
      </w:tr>
      <w:tr w14:paraId="0210B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A706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C3D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公路局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1A75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负责国省道公路的抢修、维护，保障公路运输畅通。</w:t>
            </w:r>
          </w:p>
        </w:tc>
      </w:tr>
      <w:tr w14:paraId="47DE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706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90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金融监督管理天镇支局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AE35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负责指导银行保险机构快速恢复营业， 组织、协调、督促、指导承保保险公司及 时开展对投保的伤亡人员和受损财产的查勘和理赔； 负责指导银行加强金库等安保 重点部位 和营业场所等重点区域的警戒， 确保资金安全。</w:t>
            </w:r>
          </w:p>
        </w:tc>
      </w:tr>
      <w:tr w14:paraId="1F1C5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997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82F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县红十字会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405A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6"/>
                <w:szCs w:val="26"/>
                <w:lang w:bidi="ar"/>
              </w:rPr>
              <w:t>负责做好志愿者队伍的管理与调配；依法开展救灾募捐活动，负责接收国内外组织和个人通过红十字会捐助的物资和资金，保证专款专用；负责组织红十字会员和志愿者参加医疗防疫并做好相关动员、引导、管理工作；开展自然灾害预防、避险和自救、互救的知识宣传。</w:t>
            </w:r>
          </w:p>
        </w:tc>
      </w:tr>
      <w:tr w14:paraId="478E0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01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5F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供电公司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ED38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负责供电范围内的损毁供电设备的修复， 保障供电范围内灾区正常用电</w:t>
            </w:r>
            <w:r>
              <w:rPr>
                <w:rStyle w:val="29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  <w:r>
              <w:rPr>
                <w:rStyle w:val="30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保障县</w:t>
            </w:r>
            <w:r>
              <w:rPr>
                <w:rStyle w:val="31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、</w:t>
            </w:r>
            <w:r>
              <w:rPr>
                <w:rStyle w:val="30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乡（镇）指挥部应急用电。</w:t>
            </w:r>
          </w:p>
        </w:tc>
      </w:tr>
      <w:tr w14:paraId="5218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78D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528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火车站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45D1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负责恢复被破坏的铁路和有关设施， 组织运力做好抢险救援人员、物资运输工作。</w:t>
            </w:r>
          </w:p>
        </w:tc>
      </w:tr>
      <w:tr w14:paraId="4156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C9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279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移动公司</w:t>
            </w:r>
          </w:p>
        </w:tc>
        <w:tc>
          <w:tcPr>
            <w:tcW w:w="10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180E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负责恢复通信设施，做好通信保障应急工作。</w:t>
            </w:r>
          </w:p>
        </w:tc>
      </w:tr>
      <w:tr w14:paraId="7A1C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77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D3B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联通公司</w:t>
            </w:r>
          </w:p>
        </w:tc>
        <w:tc>
          <w:tcPr>
            <w:tcW w:w="10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B375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09FBF02"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484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09C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电信公司</w:t>
            </w:r>
          </w:p>
        </w:tc>
        <w:tc>
          <w:tcPr>
            <w:tcW w:w="10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60F8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A6D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F687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EF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省217地质队</w:t>
            </w:r>
          </w:p>
        </w:tc>
        <w:tc>
          <w:tcPr>
            <w:tcW w:w="10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E06B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负责对地质灾害应急处置提供技术支撑</w:t>
            </w:r>
            <w:r>
              <w:rPr>
                <w:rStyle w:val="29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</w:p>
        </w:tc>
      </w:tr>
    </w:tbl>
    <w:p w14:paraId="10B5027F">
      <w:pPr>
        <w:pStyle w:val="2"/>
        <w:ind w:firstLine="0" w:firstLineChars="0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sectPr>
          <w:footerReference r:id="rId4" w:type="default"/>
          <w:pgSz w:w="16838" w:h="11906" w:orient="landscape"/>
          <w:pgMar w:top="1417" w:right="1417" w:bottom="1417" w:left="1418" w:header="850" w:footer="992" w:gutter="0"/>
          <w:pgNumType w:fmt="numberInDash" w:start="16"/>
          <w:cols w:space="0" w:num="1"/>
          <w:docGrid w:type="lines" w:linePitch="319" w:charSpace="0"/>
        </w:sectPr>
      </w:pPr>
    </w:p>
    <w:p w14:paraId="088F9D1B">
      <w:pPr>
        <w:pStyle w:val="2"/>
        <w:ind w:firstLine="0" w:firstLineChars="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附件3</w:t>
      </w:r>
    </w:p>
    <w:p w14:paraId="5A1845E1">
      <w:pPr>
        <w:pStyle w:val="2"/>
        <w:ind w:firstLine="0" w:firstLineChars="0"/>
        <w:rPr>
          <w:rFonts w:ascii="方正大标宋简体" w:hAnsi="方正大标宋简体" w:eastAsia="方正大标宋简体" w:cs="方正大标宋简体"/>
          <w:color w:val="000000"/>
          <w:kern w:val="0"/>
          <w:sz w:val="44"/>
          <w:szCs w:val="44"/>
          <w:lang w:bidi="ar"/>
        </w:rPr>
      </w:pPr>
      <w:r>
        <w:rPr>
          <w:rFonts w:ascii="方正大标宋简体" w:hAnsi="方正大标宋简体" w:eastAsia="方正大标宋简体" w:cs="方正大标宋简体"/>
          <w:color w:val="000000"/>
          <w:kern w:val="0"/>
          <w:sz w:val="44"/>
          <w:szCs w:val="44"/>
          <w:lang w:bidi="ar"/>
        </w:rPr>
        <w:t>天镇县突发性地质灾害应急指挥部成员单位</w:t>
      </w:r>
    </w:p>
    <w:tbl>
      <w:tblPr>
        <w:tblStyle w:val="14"/>
        <w:tblW w:w="92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833"/>
        <w:gridCol w:w="2380"/>
        <w:gridCol w:w="2359"/>
      </w:tblGrid>
      <w:tr w14:paraId="7F9B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E5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D2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A0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职  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2E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联系方式</w:t>
            </w:r>
          </w:p>
        </w:tc>
      </w:tr>
      <w:tr w14:paraId="4FE1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2D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政府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7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赵宇雄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0D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分管自然资源工作的副县长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55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13835236364</w:t>
            </w:r>
          </w:p>
        </w:tc>
      </w:tr>
      <w:tr w14:paraId="3A60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FB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9A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庞亚鑫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3D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办公室副主任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FE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13753216234</w:t>
            </w:r>
          </w:p>
        </w:tc>
      </w:tr>
      <w:tr w14:paraId="19F5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31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自然资源局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76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温国荣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09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BA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13934120511</w:t>
            </w:r>
          </w:p>
        </w:tc>
      </w:tr>
      <w:tr w14:paraId="4B21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02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应急管理局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2E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牛建伟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4E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8A8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13994442791</w:t>
            </w:r>
          </w:p>
        </w:tc>
      </w:tr>
      <w:tr w14:paraId="0DD2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4E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气象局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FC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余永利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0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A0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13097596367</w:t>
            </w:r>
          </w:p>
        </w:tc>
      </w:tr>
      <w:tr w14:paraId="6EDE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76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武警中队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98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赵天毅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10D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中队长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1A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19582176660</w:t>
            </w:r>
          </w:p>
        </w:tc>
      </w:tr>
      <w:tr w14:paraId="587A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EE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消防救援局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C9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  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A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队  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FA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18734298990</w:t>
            </w:r>
          </w:p>
        </w:tc>
      </w:tr>
      <w:tr w14:paraId="39E8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40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宣传部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CD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赵瑞平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03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94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13834021522</w:t>
            </w:r>
          </w:p>
        </w:tc>
      </w:tr>
      <w:tr w14:paraId="75A9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7E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发科局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7C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吴小平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88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32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13994325096</w:t>
            </w:r>
          </w:p>
        </w:tc>
      </w:tr>
      <w:tr w14:paraId="08C47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98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教育局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83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范爱军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2B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67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13100026838</w:t>
            </w:r>
          </w:p>
        </w:tc>
      </w:tr>
      <w:tr w14:paraId="26657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FB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公安局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6C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李耀民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B8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B1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13383425557</w:t>
            </w:r>
          </w:p>
        </w:tc>
      </w:tr>
      <w:tr w14:paraId="1D92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F0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工信局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A57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曹亚楠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FA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2C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18636285834</w:t>
            </w:r>
          </w:p>
        </w:tc>
      </w:tr>
      <w:tr w14:paraId="68032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AA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民政局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7E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宋佳春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9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7B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13100124656</w:t>
            </w:r>
          </w:p>
        </w:tc>
      </w:tr>
      <w:tr w14:paraId="4235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55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司法局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A8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安建清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56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DF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15735273666</w:t>
            </w:r>
          </w:p>
        </w:tc>
      </w:tr>
      <w:tr w14:paraId="3243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13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财政局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2F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  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C2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0D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15903421388</w:t>
            </w:r>
          </w:p>
        </w:tc>
      </w:tr>
      <w:tr w14:paraId="56CD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6D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人社局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A8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王振进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54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4C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13191123048</w:t>
            </w:r>
          </w:p>
        </w:tc>
      </w:tr>
      <w:tr w14:paraId="1C401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07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住建局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F3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张达栋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23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F0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13934269110</w:t>
            </w:r>
          </w:p>
        </w:tc>
      </w:tr>
      <w:tr w14:paraId="0CAD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D3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市生态环境局天镇分局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EE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安  凌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78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AA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15935298950</w:t>
            </w:r>
          </w:p>
        </w:tc>
      </w:tr>
      <w:tr w14:paraId="2EB6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EF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城市行政执法管理大队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18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  成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7F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公安局副局长、执法大队队长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55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13383425999</w:t>
            </w:r>
          </w:p>
        </w:tc>
      </w:tr>
      <w:tr w14:paraId="7CA8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0C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交通运输局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0E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高玉魁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6B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E2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13994365735</w:t>
            </w:r>
          </w:p>
        </w:tc>
      </w:tr>
      <w:tr w14:paraId="7CB36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4C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水务局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37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刘子龙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92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5D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15110773792</w:t>
            </w:r>
          </w:p>
        </w:tc>
      </w:tr>
      <w:tr w14:paraId="1D38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2D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农业农村局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14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张彦强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C1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执法队队长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7D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13096549268</w:t>
            </w:r>
          </w:p>
        </w:tc>
      </w:tr>
      <w:tr w14:paraId="36A4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25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文化和旅游局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B75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郝海宽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D0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7C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15235202053</w:t>
            </w:r>
          </w:p>
        </w:tc>
      </w:tr>
      <w:tr w14:paraId="60CE0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3C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卫体局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D8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袁瑞和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44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DB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13834126148</w:t>
            </w:r>
          </w:p>
        </w:tc>
      </w:tr>
      <w:tr w14:paraId="661EE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82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市场监督管理局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62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张风生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97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94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18636254288</w:t>
            </w:r>
          </w:p>
        </w:tc>
      </w:tr>
      <w:tr w14:paraId="37FE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2D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能源局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F0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赵晓飞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79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6C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13835225817</w:t>
            </w:r>
          </w:p>
        </w:tc>
      </w:tr>
      <w:tr w14:paraId="7BA7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09F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公路段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A9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王建平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F4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段长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A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13994436333</w:t>
            </w:r>
          </w:p>
        </w:tc>
      </w:tr>
      <w:tr w14:paraId="0C9B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C78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金融监督管理天镇支局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12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82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局长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2D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15803521966</w:t>
            </w:r>
          </w:p>
        </w:tc>
      </w:tr>
      <w:tr w14:paraId="7535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F8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红十字会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E6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袁伟平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17E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会长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37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13934803973</w:t>
            </w:r>
          </w:p>
        </w:tc>
      </w:tr>
      <w:tr w14:paraId="60CDC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0E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供电公司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BC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任爱民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16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5D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13700526236</w:t>
            </w:r>
          </w:p>
        </w:tc>
      </w:tr>
      <w:tr w14:paraId="13F30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E9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火车站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F4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丁晓军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35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站长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AA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13994329877</w:t>
            </w:r>
          </w:p>
        </w:tc>
      </w:tr>
      <w:tr w14:paraId="4A4D7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2C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移动公司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67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  柱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52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DB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13903520032</w:t>
            </w:r>
          </w:p>
        </w:tc>
      </w:tr>
      <w:tr w14:paraId="0E0C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B1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电信公司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A6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  忠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A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D7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17703529979</w:t>
            </w:r>
          </w:p>
        </w:tc>
      </w:tr>
      <w:tr w14:paraId="72F7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43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联通公司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FC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朱志强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B7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96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18603521998</w:t>
            </w:r>
          </w:p>
        </w:tc>
      </w:tr>
      <w:tr w14:paraId="56077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160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玉泉镇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EA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  晨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89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镇长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0A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13703521622</w:t>
            </w:r>
          </w:p>
        </w:tc>
      </w:tr>
      <w:tr w14:paraId="0CC0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B7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谷前堡镇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F6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李国强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1E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镇长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C7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13835223306</w:t>
            </w:r>
          </w:p>
        </w:tc>
      </w:tr>
      <w:tr w14:paraId="4F032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E3E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卅里铺乡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13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孙  岩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8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乡长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E8D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15935300777</w:t>
            </w:r>
          </w:p>
        </w:tc>
      </w:tr>
      <w:tr w14:paraId="6341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7A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南河堡乡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67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薛润飞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AC9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乡长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72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15035286029</w:t>
            </w:r>
          </w:p>
        </w:tc>
      </w:tr>
      <w:tr w14:paraId="721D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69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米薪关镇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0B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贾  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1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镇长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CB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13934752799</w:t>
            </w:r>
          </w:p>
        </w:tc>
      </w:tr>
      <w:tr w14:paraId="3C31B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3F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贾家屯乡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15A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杨宝军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53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乡长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7D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13994405489</w:t>
            </w:r>
          </w:p>
        </w:tc>
      </w:tr>
      <w:tr w14:paraId="7D99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729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赵家沟乡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28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和  磊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50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乡长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1D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13643524498</w:t>
            </w:r>
          </w:p>
        </w:tc>
      </w:tr>
      <w:tr w14:paraId="1354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88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南高崖乡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BB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杨广川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0A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乡长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4C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13028085245</w:t>
            </w:r>
          </w:p>
        </w:tc>
      </w:tr>
      <w:tr w14:paraId="6F2F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15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张西河乡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F7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  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BF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乡长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DB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13403525210</w:t>
            </w:r>
          </w:p>
        </w:tc>
      </w:tr>
      <w:tr w14:paraId="5FF4B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48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逯家湾镇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88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王彦飞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BA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镇长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99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13103427261</w:t>
            </w:r>
          </w:p>
        </w:tc>
      </w:tr>
      <w:tr w14:paraId="645D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DE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</w:t>
            </w: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平</w:t>
            </w: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20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贾  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F6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镇长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04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15110750023</w:t>
            </w:r>
          </w:p>
        </w:tc>
      </w:tr>
      <w:tr w14:paraId="6134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8C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社区治理服务中心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D3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张艳宏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F5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92E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13403427246</w:t>
            </w:r>
          </w:p>
        </w:tc>
      </w:tr>
    </w:tbl>
    <w:p w14:paraId="1A9D557B">
      <w:pPr>
        <w:pStyle w:val="2"/>
        <w:ind w:firstLine="0" w:firstLineChars="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sectPr>
          <w:footerReference r:id="rId5" w:type="default"/>
          <w:pgSz w:w="11906" w:h="16838"/>
          <w:pgMar w:top="1417" w:right="1644" w:bottom="1418" w:left="1644" w:header="850" w:footer="992" w:gutter="0"/>
          <w:pgNumType w:fmt="numberInDash" w:start="21"/>
          <w:cols w:space="720" w:num="1"/>
          <w:docGrid w:type="lines" w:linePitch="312" w:charSpace="0"/>
        </w:sectPr>
      </w:pPr>
    </w:p>
    <w:p w14:paraId="031DD646">
      <w:pPr>
        <w:pStyle w:val="2"/>
        <w:ind w:firstLine="0" w:firstLineChars="0"/>
        <w:rPr>
          <w:rFonts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附件4</w:t>
      </w:r>
    </w:p>
    <w:p w14:paraId="6D12CB5E"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地质灾害气象风险预警级别及预警措施</w:t>
      </w:r>
    </w:p>
    <w:tbl>
      <w:tblPr>
        <w:tblStyle w:val="14"/>
        <w:tblW w:w="13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768"/>
        <w:gridCol w:w="2860"/>
        <w:gridCol w:w="3113"/>
        <w:gridCol w:w="3643"/>
      </w:tblGrid>
      <w:tr w14:paraId="3479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D12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预警级别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618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四级（蓝色）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A54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三</w:t>
            </w:r>
            <w:r>
              <w:rPr>
                <w:rStyle w:val="32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级（黄色）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9D1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二</w:t>
            </w:r>
            <w:r>
              <w:rPr>
                <w:rStyle w:val="32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级（橙色）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254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一</w:t>
            </w:r>
            <w:r>
              <w:rPr>
                <w:rStyle w:val="33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级（红色）</w:t>
            </w:r>
          </w:p>
        </w:tc>
      </w:tr>
      <w:tr w14:paraId="6909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AF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含义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1C84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预计因气象因素致</w:t>
            </w:r>
            <w:r>
              <w:rPr>
                <w:rStyle w:val="32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突发地质灾害发生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有一定风险</w:t>
            </w:r>
            <w:r>
              <w:rPr>
                <w:rStyle w:val="3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4FF4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预计因气象因素致突发地质灾害发生的风险较高</w:t>
            </w:r>
            <w:r>
              <w:rPr>
                <w:rStyle w:val="3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D3DB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预计因气象因素致突发地质灾害发生的风险高。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64F6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预计因气象因素致突发地质</w:t>
            </w:r>
            <w:r>
              <w:rPr>
                <w:rStyle w:val="32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灾害发生的风险很高</w:t>
            </w:r>
            <w:r>
              <w:rPr>
                <w:rStyle w:val="3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</w:p>
        </w:tc>
      </w:tr>
      <w:tr w14:paraId="6B95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838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预警措施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FED0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做好值守工作，保持通信联络畅通</w:t>
            </w:r>
            <w:r>
              <w:rPr>
                <w:rStyle w:val="3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， 相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关单位密切关注雨</w:t>
            </w:r>
            <w:r>
              <w:rPr>
                <w:rStyle w:val="3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情、</w:t>
            </w:r>
            <w:r>
              <w:rPr>
                <w:rStyle w:val="32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水情变化</w:t>
            </w:r>
            <w:r>
              <w:rPr>
                <w:rStyle w:val="3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E8D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做好隐患点的巡查、排查和监测工作，每天巡查监测不少于2次</w:t>
            </w:r>
            <w:r>
              <w:rPr>
                <w:rStyle w:val="33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特别是房前屋后边坡要进行重点巡查</w:t>
            </w:r>
            <w:r>
              <w:rPr>
                <w:rStyle w:val="34"/>
                <w:rFonts w:ascii="仿宋_GB2312" w:hAnsi="仿宋_GB2312" w:eastAsia="仿宋_GB2312" w:cs="仿宋_GB2312"/>
                <w:color w:val="auto"/>
                <w:sz w:val="26"/>
                <w:szCs w:val="26"/>
                <w:lang w:bidi="ar"/>
              </w:rPr>
              <w:t>。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8C36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1.暂停灾害隐患点附近的 户外作业；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2.严密巡查监测；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3.做好应急抢险准备工作，发现异常采取避让措施。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5427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1.属地人民政府根据实际情况，将可能发生地质灾害的重点隐患点受威胁的人员转移避让；2.做好抢险准备，实行24小时不间断巡查监测；3.各级人民政府及相关部对预警区域预警措施落实情况进行督促检查。</w:t>
            </w:r>
          </w:p>
        </w:tc>
      </w:tr>
    </w:tbl>
    <w:p w14:paraId="3A9382FC">
      <w:pPr>
        <w:pStyle w:val="2"/>
        <w:ind w:firstLine="0" w:firstLineChars="0"/>
        <w:rPr>
          <w:rFonts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附件5</w:t>
      </w:r>
    </w:p>
    <w:p w14:paraId="1EA3A215"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地质灾害灾（险）情分级及对应县级响应</w:t>
      </w:r>
    </w:p>
    <w:tbl>
      <w:tblPr>
        <w:tblStyle w:val="14"/>
        <w:tblW w:w="13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1938"/>
        <w:gridCol w:w="2948"/>
        <w:gridCol w:w="2948"/>
        <w:gridCol w:w="441"/>
        <w:gridCol w:w="2507"/>
        <w:gridCol w:w="909"/>
        <w:gridCol w:w="2039"/>
      </w:tblGrid>
      <w:tr w14:paraId="14DD5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D2B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灾（险）情</w:t>
            </w:r>
          </w:p>
          <w:p w14:paraId="0E2C51B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分级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684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小型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416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中型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B51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大型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9A7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特大型</w:t>
            </w:r>
          </w:p>
        </w:tc>
      </w:tr>
      <w:tr w14:paraId="446F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  <w:jc w:val="center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BA8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分级标准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BA4D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出现受灾害威胁，需避险转移人数在100人以下，或潜在经济损失500万元以下的地质灾害灾情；因灾死亡(含失联)3人以下，或因灾造成直接经济损失100万元以下的地质灾害险情;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7C9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出现受灾害威胁，需避险转移人数在100人以上500人以下，或潜在经济损失500万元以上5000万元以下的地质灾害灾情；因灾死亡(含失联)3人以上10人以下，或因灾造成直接经济损失100万元以上500万元以下的地质灾害险情;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381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出现受灾害威胁，需避险转移人数在500人以上1000人以下，或潜在经济损失5000万元以上1亿元以下的地质灾害灾情；因灾死亡(含失联)10人以上30人以下，或因灾造成直接经济损失500万元以上1000万元以下的地质灾害险情;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61153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出现受灾害威胁，需避险转移人数在1000人以上，或潜在经济损失1亿元以上的地质灾害灾情；因灾死亡(含失联)30人以上，或因灾造成直接经济损失1000万元以上的地质灾害险情;</w:t>
            </w:r>
          </w:p>
        </w:tc>
      </w:tr>
      <w:tr w14:paraId="488C7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6C6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响应级次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B08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四级响应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130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三级响应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C30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二级响应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A5C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一级响应</w:t>
            </w:r>
          </w:p>
        </w:tc>
      </w:tr>
      <w:tr w14:paraId="54C0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57" w:hRule="atLeast"/>
          <w:jc w:val="center"/>
        </w:trPr>
        <w:tc>
          <w:tcPr>
            <w:tcW w:w="82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3F36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注：“以上”包括本数，“以下”不包括本数。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6D995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34E4C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</w:tbl>
    <w:p w14:paraId="089BECD9">
      <w:pPr>
        <w:pStyle w:val="2"/>
        <w:ind w:firstLine="0" w:firstLineChars="0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footerReference r:id="rId6" w:type="default"/>
          <w:pgSz w:w="16838" w:h="11906" w:orient="landscape"/>
          <w:pgMar w:top="1417" w:right="1417" w:bottom="1417" w:left="1418" w:header="850" w:footer="992" w:gutter="0"/>
          <w:pgNumType w:fmt="numberInDash" w:start="23"/>
          <w:cols w:space="0" w:num="1"/>
          <w:docGrid w:type="lines" w:linePitch="319" w:charSpace="0"/>
        </w:sectPr>
      </w:pPr>
    </w:p>
    <w:p w14:paraId="07E3B4D2">
      <w:pPr>
        <w:pStyle w:val="2"/>
        <w:ind w:firstLine="0" w:firstLineChars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sectPr>
      <w:pgSz w:w="11906" w:h="16838"/>
      <w:pgMar w:top="1417" w:right="1644" w:bottom="1418" w:left="1644" w:header="850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6B044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3F527">
                          <w:pPr>
                            <w:pStyle w:val="8"/>
                            <w:rPr>
                              <w:rFonts w:ascii="仿宋_GB2312" w:hAnsi="仿宋_GB2312" w:eastAsia="仿宋_GB2312" w:cs="仿宋_GB231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3F527">
                    <w:pPr>
                      <w:pStyle w:val="8"/>
                      <w:rPr>
                        <w:rFonts w:ascii="仿宋_GB2312" w:hAnsi="仿宋_GB2312" w:eastAsia="仿宋_GB2312" w:cs="仿宋_GB2312"/>
                        <w:sz w:val="22"/>
                        <w:szCs w:val="2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E06A1">
    <w:pPr>
      <w:pStyle w:val="8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0ACEE">
                          <w:pPr>
                            <w:pStyle w:val="8"/>
                            <w:rPr>
                              <w:rFonts w:ascii="仿宋_GB2312" w:hAnsi="仿宋_GB2312" w:eastAsia="仿宋_GB2312" w:cs="仿宋_GB231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0ACEE">
                    <w:pPr>
                      <w:pStyle w:val="8"/>
                      <w:rPr>
                        <w:rFonts w:ascii="仿宋_GB2312" w:hAnsi="仿宋_GB2312" w:eastAsia="仿宋_GB2312" w:cs="仿宋_GB2312"/>
                        <w:sz w:val="22"/>
                        <w:szCs w:val="2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10636">
    <w:pPr>
      <w:pStyle w:val="8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33673">
                          <w:pPr>
                            <w:pStyle w:val="8"/>
                            <w:rPr>
                              <w:rFonts w:ascii="仿宋_GB2312" w:hAnsi="仿宋_GB2312" w:eastAsia="仿宋_GB2312" w:cs="仿宋_GB231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33673">
                    <w:pPr>
                      <w:pStyle w:val="8"/>
                      <w:rPr>
                        <w:rFonts w:ascii="仿宋_GB2312" w:hAnsi="仿宋_GB2312" w:eastAsia="仿宋_GB2312" w:cs="仿宋_GB2312"/>
                        <w:sz w:val="22"/>
                        <w:szCs w:val="2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8AE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4D955">
                          <w:pPr>
                            <w:pStyle w:val="8"/>
                            <w:rPr>
                              <w:rFonts w:ascii="仿宋_GB2312" w:hAnsi="仿宋_GB2312" w:eastAsia="仿宋_GB2312" w:cs="仿宋_GB231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4D955">
                    <w:pPr>
                      <w:pStyle w:val="8"/>
                      <w:rPr>
                        <w:rFonts w:ascii="仿宋_GB2312" w:hAnsi="仿宋_GB2312" w:eastAsia="仿宋_GB2312" w:cs="仿宋_GB2312"/>
                        <w:sz w:val="22"/>
                        <w:szCs w:val="2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TIyMjU4MTU1MTI1NzU0ZmEyMzExNjJjYTRkZWYifQ=="/>
  </w:docVars>
  <w:rsids>
    <w:rsidRoot w:val="38174658"/>
    <w:rsid w:val="00963C9B"/>
    <w:rsid w:val="00A05231"/>
    <w:rsid w:val="00FC62CF"/>
    <w:rsid w:val="03EA6562"/>
    <w:rsid w:val="043C5F8E"/>
    <w:rsid w:val="04A078D4"/>
    <w:rsid w:val="04E64D49"/>
    <w:rsid w:val="060914B4"/>
    <w:rsid w:val="06D44B6D"/>
    <w:rsid w:val="0826182D"/>
    <w:rsid w:val="095C7F2E"/>
    <w:rsid w:val="098D27B7"/>
    <w:rsid w:val="0D077DD0"/>
    <w:rsid w:val="0D7C5BBC"/>
    <w:rsid w:val="0E0D22D8"/>
    <w:rsid w:val="0EFB5712"/>
    <w:rsid w:val="10AF5D9D"/>
    <w:rsid w:val="121A67F7"/>
    <w:rsid w:val="1228104F"/>
    <w:rsid w:val="12BF58DE"/>
    <w:rsid w:val="12EA7F78"/>
    <w:rsid w:val="15067BBC"/>
    <w:rsid w:val="15381BFC"/>
    <w:rsid w:val="16EB6823"/>
    <w:rsid w:val="171D5C55"/>
    <w:rsid w:val="1A0B76AD"/>
    <w:rsid w:val="1B0D2EC4"/>
    <w:rsid w:val="1C1B73F4"/>
    <w:rsid w:val="1CA56C15"/>
    <w:rsid w:val="1D152095"/>
    <w:rsid w:val="1D1E53EE"/>
    <w:rsid w:val="1D5A219E"/>
    <w:rsid w:val="1EB563CE"/>
    <w:rsid w:val="1EFD646B"/>
    <w:rsid w:val="22C83F56"/>
    <w:rsid w:val="2AA66B98"/>
    <w:rsid w:val="2B1E2A5D"/>
    <w:rsid w:val="2CA70830"/>
    <w:rsid w:val="2CC3566A"/>
    <w:rsid w:val="2DBA21FF"/>
    <w:rsid w:val="2FF975F4"/>
    <w:rsid w:val="307C219A"/>
    <w:rsid w:val="30FD4EC2"/>
    <w:rsid w:val="31003887"/>
    <w:rsid w:val="31BF2B33"/>
    <w:rsid w:val="323D1A1A"/>
    <w:rsid w:val="328417CF"/>
    <w:rsid w:val="32A55811"/>
    <w:rsid w:val="335135AD"/>
    <w:rsid w:val="34144A41"/>
    <w:rsid w:val="38174658"/>
    <w:rsid w:val="39776CF0"/>
    <w:rsid w:val="3A1830E4"/>
    <w:rsid w:val="3E28707E"/>
    <w:rsid w:val="3EF45B57"/>
    <w:rsid w:val="40B3559D"/>
    <w:rsid w:val="414D2F46"/>
    <w:rsid w:val="41767F3F"/>
    <w:rsid w:val="430D368B"/>
    <w:rsid w:val="4396542E"/>
    <w:rsid w:val="44C72366"/>
    <w:rsid w:val="465F4CC8"/>
    <w:rsid w:val="46B06807"/>
    <w:rsid w:val="476A2E5A"/>
    <w:rsid w:val="47B93F31"/>
    <w:rsid w:val="488E0BC1"/>
    <w:rsid w:val="50B27620"/>
    <w:rsid w:val="51FF2E33"/>
    <w:rsid w:val="55D11BA7"/>
    <w:rsid w:val="56707A15"/>
    <w:rsid w:val="594B4EDE"/>
    <w:rsid w:val="5A99726A"/>
    <w:rsid w:val="5D7677B9"/>
    <w:rsid w:val="5EC24ED2"/>
    <w:rsid w:val="5F8E279A"/>
    <w:rsid w:val="60600A41"/>
    <w:rsid w:val="60CF055E"/>
    <w:rsid w:val="623065F6"/>
    <w:rsid w:val="628D57F7"/>
    <w:rsid w:val="66D460EA"/>
    <w:rsid w:val="66E24386"/>
    <w:rsid w:val="67A61638"/>
    <w:rsid w:val="68C305E8"/>
    <w:rsid w:val="6A334ED5"/>
    <w:rsid w:val="6AF91C7B"/>
    <w:rsid w:val="6CF62502"/>
    <w:rsid w:val="6EB85211"/>
    <w:rsid w:val="6ECE666B"/>
    <w:rsid w:val="6FC6722A"/>
    <w:rsid w:val="6FDC1176"/>
    <w:rsid w:val="709D579F"/>
    <w:rsid w:val="71174225"/>
    <w:rsid w:val="71F4326B"/>
    <w:rsid w:val="724728F0"/>
    <w:rsid w:val="75137D00"/>
    <w:rsid w:val="77D93560"/>
    <w:rsid w:val="78B27D7B"/>
    <w:rsid w:val="7A540FCF"/>
    <w:rsid w:val="7A5A2D26"/>
    <w:rsid w:val="7BAB5214"/>
    <w:rsid w:val="7E3E19A2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Body Text"/>
    <w:basedOn w:val="1"/>
    <w:qFormat/>
    <w:uiPriority w:val="1"/>
    <w:rPr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楷体_GB2312" w:hAnsi="黑体" w:eastAsia="楷体_GB2312"/>
      <w:b/>
      <w:sz w:val="30"/>
      <w:szCs w:val="30"/>
    </w:rPr>
  </w:style>
  <w:style w:type="paragraph" w:styleId="11">
    <w:name w:val="toc 2"/>
    <w:basedOn w:val="1"/>
    <w:next w:val="1"/>
    <w:qFormat/>
    <w:uiPriority w:val="0"/>
    <w:pPr>
      <w:tabs>
        <w:tab w:val="left" w:pos="1050"/>
        <w:tab w:val="right" w:leader="dot" w:pos="8296"/>
      </w:tabs>
      <w:ind w:firstLine="560" w:firstLineChars="200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qFormat/>
    <w:uiPriority w:val="0"/>
    <w:pPr>
      <w:widowControl/>
      <w:ind w:firstLine="600" w:firstLineChars="200"/>
    </w:pPr>
    <w:rPr>
      <w:sz w:val="3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样式1"/>
    <w:basedOn w:val="1"/>
    <w:qFormat/>
    <w:uiPriority w:val="0"/>
    <w:pPr>
      <w:spacing w:line="520" w:lineRule="exact"/>
      <w:ind w:firstLine="200" w:firstLineChars="200"/>
      <w:jc w:val="left"/>
    </w:pPr>
    <w:rPr>
      <w:rFonts w:ascii="宋体" w:hAnsi="宋体" w:eastAsia="仿宋_GB2312"/>
      <w:sz w:val="30"/>
      <w:szCs w:val="21"/>
    </w:rPr>
  </w:style>
  <w:style w:type="paragraph" w:customStyle="1" w:styleId="19">
    <w:name w:val="公文正文"/>
    <w:basedOn w:val="1"/>
    <w:qFormat/>
    <w:uiPriority w:val="0"/>
    <w:pPr>
      <w:widowControl/>
      <w:spacing w:line="480" w:lineRule="atLeast"/>
      <w:ind w:firstLine="600" w:firstLineChars="200"/>
    </w:pPr>
    <w:rPr>
      <w:snapToGrid w:val="0"/>
      <w:kern w:val="24"/>
      <w:sz w:val="30"/>
      <w:szCs w:val="30"/>
    </w:rPr>
  </w:style>
  <w:style w:type="paragraph" w:customStyle="1" w:styleId="20">
    <w:name w:val="样式 正文(首行缩进) + 首行缩进:  2 字符"/>
    <w:basedOn w:val="1"/>
    <w:qFormat/>
    <w:uiPriority w:val="0"/>
    <w:pPr>
      <w:widowControl/>
      <w:spacing w:line="480" w:lineRule="atLeast"/>
      <w:ind w:firstLine="200" w:firstLineChars="200"/>
    </w:pPr>
    <w:rPr>
      <w:snapToGrid w:val="0"/>
      <w:kern w:val="24"/>
      <w:sz w:val="30"/>
      <w:szCs w:val="30"/>
    </w:rPr>
  </w:style>
  <w:style w:type="paragraph" w:customStyle="1" w:styleId="21">
    <w:name w:val="_Style 5"/>
    <w:basedOn w:val="4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2">
    <w:name w:val="font01"/>
    <w:basedOn w:val="16"/>
    <w:qFormat/>
    <w:uiPriority w:val="0"/>
    <w:rPr>
      <w:rFonts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23">
    <w:name w:val="font111"/>
    <w:basedOn w:val="16"/>
    <w:qFormat/>
    <w:uiPriority w:val="0"/>
    <w:rPr>
      <w:rFonts w:hint="eastAsia" w:ascii="宋体" w:hAnsi="宋体" w:eastAsia="宋体" w:cs="宋体"/>
      <w:color w:val="808080"/>
      <w:sz w:val="28"/>
      <w:szCs w:val="28"/>
      <w:u w:val="none"/>
    </w:rPr>
  </w:style>
  <w:style w:type="character" w:customStyle="1" w:styleId="24">
    <w:name w:val="font122"/>
    <w:basedOn w:val="16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25">
    <w:name w:val="font51"/>
    <w:basedOn w:val="16"/>
    <w:qFormat/>
    <w:uiPriority w:val="0"/>
    <w:rPr>
      <w:rFonts w:hint="eastAsia" w:ascii="宋体" w:hAnsi="宋体" w:eastAsia="宋体" w:cs="宋体"/>
      <w:color w:val="3F4246"/>
      <w:sz w:val="28"/>
      <w:szCs w:val="28"/>
      <w:u w:val="none"/>
    </w:rPr>
  </w:style>
  <w:style w:type="character" w:customStyle="1" w:styleId="26">
    <w:name w:val="font71"/>
    <w:basedOn w:val="16"/>
    <w:qFormat/>
    <w:uiPriority w:val="0"/>
    <w:rPr>
      <w:rFonts w:hint="eastAsia" w:ascii="宋体" w:hAnsi="宋体" w:eastAsia="宋体" w:cs="宋体"/>
      <w:color w:val="4F5256"/>
      <w:sz w:val="28"/>
      <w:szCs w:val="28"/>
      <w:u w:val="none"/>
    </w:rPr>
  </w:style>
  <w:style w:type="character" w:customStyle="1" w:styleId="27">
    <w:name w:val="font61"/>
    <w:basedOn w:val="16"/>
    <w:qFormat/>
    <w:uiPriority w:val="0"/>
    <w:rPr>
      <w:rFonts w:hint="eastAsia" w:ascii="宋体" w:hAnsi="宋体" w:eastAsia="宋体" w:cs="宋体"/>
      <w:color w:val="414448"/>
      <w:sz w:val="28"/>
      <w:szCs w:val="28"/>
      <w:u w:val="none"/>
    </w:rPr>
  </w:style>
  <w:style w:type="character" w:customStyle="1" w:styleId="28">
    <w:name w:val="font131"/>
    <w:basedOn w:val="16"/>
    <w:qFormat/>
    <w:uiPriority w:val="0"/>
    <w:rPr>
      <w:rFonts w:ascii="Calibri" w:hAnsi="Calibri" w:cs="Calibri"/>
      <w:color w:val="333333"/>
      <w:sz w:val="28"/>
      <w:szCs w:val="28"/>
      <w:u w:val="none"/>
    </w:rPr>
  </w:style>
  <w:style w:type="character" w:customStyle="1" w:styleId="29">
    <w:name w:val="font141"/>
    <w:basedOn w:val="16"/>
    <w:qFormat/>
    <w:uiPriority w:val="0"/>
    <w:rPr>
      <w:rFonts w:hint="eastAsia" w:ascii="宋体" w:hAnsi="宋体" w:eastAsia="宋体" w:cs="宋体"/>
      <w:color w:val="56595D"/>
      <w:sz w:val="28"/>
      <w:szCs w:val="28"/>
      <w:u w:val="none"/>
    </w:rPr>
  </w:style>
  <w:style w:type="character" w:customStyle="1" w:styleId="30">
    <w:name w:val="font101"/>
    <w:basedOn w:val="16"/>
    <w:qFormat/>
    <w:uiPriority w:val="0"/>
    <w:rPr>
      <w:rFonts w:hint="eastAsia" w:ascii="宋体" w:hAnsi="宋体" w:eastAsia="宋体" w:cs="宋体"/>
      <w:color w:val="3B3F44"/>
      <w:sz w:val="28"/>
      <w:szCs w:val="28"/>
      <w:u w:val="none"/>
    </w:rPr>
  </w:style>
  <w:style w:type="character" w:customStyle="1" w:styleId="31">
    <w:name w:val="font151"/>
    <w:basedOn w:val="16"/>
    <w:qFormat/>
    <w:uiPriority w:val="0"/>
    <w:rPr>
      <w:rFonts w:hint="eastAsia" w:ascii="宋体" w:hAnsi="宋体" w:eastAsia="宋体" w:cs="宋体"/>
      <w:color w:val="1D1F24"/>
      <w:sz w:val="28"/>
      <w:szCs w:val="28"/>
      <w:u w:val="none"/>
    </w:rPr>
  </w:style>
  <w:style w:type="character" w:customStyle="1" w:styleId="32">
    <w:name w:val="font81"/>
    <w:basedOn w:val="16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33">
    <w:name w:val="font31"/>
    <w:basedOn w:val="16"/>
    <w:qFormat/>
    <w:uiPriority w:val="0"/>
    <w:rPr>
      <w:rFonts w:hint="eastAsia" w:ascii="宋体" w:hAnsi="宋体" w:eastAsia="宋体" w:cs="宋体"/>
      <w:color w:val="1F2128"/>
      <w:sz w:val="28"/>
      <w:szCs w:val="28"/>
      <w:u w:val="none"/>
    </w:rPr>
  </w:style>
  <w:style w:type="character" w:customStyle="1" w:styleId="34">
    <w:name w:val="font91"/>
    <w:basedOn w:val="16"/>
    <w:qFormat/>
    <w:uiPriority w:val="0"/>
    <w:rPr>
      <w:rFonts w:hint="eastAsia" w:ascii="宋体" w:hAnsi="宋体" w:eastAsia="宋体" w:cs="宋体"/>
      <w:color w:val="80808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4009</Words>
  <Characters>4524</Characters>
  <Lines>35</Lines>
  <Paragraphs>10</Paragraphs>
  <TotalTime>6</TotalTime>
  <ScaleCrop>false</ScaleCrop>
  <LinksUpToDate>false</LinksUpToDate>
  <CharactersWithSpaces>4570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2025-07-01T03:34:00Z</dcterms:created>
  <dc:creator>完美男人</dc:creator>
  <cp:lastModifiedBy>zza</cp:lastModifiedBy>
  <cp:lastPrinted>2023-08-10T02:30:00Z</cp:lastPrinted>
  <dcterms:modified xsi:type="dcterms:W3CDTF">2025-10-24T03:49:30Z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1D037CAAE83846D2AA93DE169A1E5B99_13</vt:lpwstr>
  </property>
  <property fmtid="{D5CDD505-2E9C-101B-9397-08002B2CF9AE}" pid="4" name="KSOTemplateDocerSaveRecord">
    <vt:lpwstr>eyJoZGlkIjoiNzg1MzNkYWY2YmQxZDQ1YzgzYmEwMmQ5ZWE4Mjk3YTEiLCJ1c2VySWQiOiIzMzYwMTY4MjYifQ==</vt:lpwstr>
  </property>
</Properties>
</file>